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湖南省工程咨询协会专家委员会管理办法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第一条</w:t>
      </w:r>
      <w:r>
        <w:rPr>
          <w:rFonts w:hint="eastAsia" w:ascii="华文仿宋" w:hAnsi="华文仿宋" w:eastAsia="华文仿宋"/>
          <w:sz w:val="28"/>
          <w:szCs w:val="28"/>
        </w:rPr>
        <w:t xml:space="preserve">  为规范</w:t>
      </w:r>
      <w:r>
        <w:rPr>
          <w:rFonts w:hint="eastAsia" w:ascii="华文仿宋" w:hAnsi="华文仿宋" w:eastAsia="华文仿宋" w:cs="Times New Roman"/>
          <w:sz w:val="28"/>
          <w:szCs w:val="28"/>
        </w:rPr>
        <w:t>湖南省工程咨询协会专家委员会</w:t>
      </w:r>
      <w:r>
        <w:rPr>
          <w:rFonts w:hint="eastAsia" w:ascii="华文仿宋" w:hAnsi="华文仿宋" w:eastAsia="华文仿宋"/>
          <w:sz w:val="28"/>
          <w:szCs w:val="28"/>
        </w:rPr>
        <w:t>工作，</w:t>
      </w:r>
      <w:r>
        <w:rPr>
          <w:rFonts w:ascii="华文仿宋" w:hAnsi="华文仿宋" w:eastAsia="华文仿宋"/>
          <w:sz w:val="28"/>
          <w:szCs w:val="28"/>
        </w:rPr>
        <w:t>加强工程咨询行业自律性管理，</w:t>
      </w:r>
      <w:r>
        <w:rPr>
          <w:rFonts w:hint="eastAsia" w:ascii="华文仿宋" w:hAnsi="华文仿宋" w:eastAsia="华文仿宋"/>
          <w:sz w:val="28"/>
          <w:szCs w:val="28"/>
        </w:rPr>
        <w:t>进一步</w:t>
      </w:r>
      <w:r>
        <w:rPr>
          <w:rFonts w:hint="eastAsia" w:ascii="华文仿宋" w:hAnsi="华文仿宋" w:eastAsia="华文仿宋" w:cs="Times New Roman"/>
          <w:bCs/>
          <w:sz w:val="28"/>
          <w:szCs w:val="28"/>
        </w:rPr>
        <w:t>提高工程</w:t>
      </w:r>
      <w:r>
        <w:rPr>
          <w:rFonts w:ascii="华文仿宋" w:hAnsi="华文仿宋" w:eastAsia="华文仿宋" w:cs="Times New Roman"/>
          <w:bCs/>
          <w:sz w:val="28"/>
          <w:szCs w:val="28"/>
        </w:rPr>
        <w:t>咨询行业</w:t>
      </w:r>
      <w:r>
        <w:rPr>
          <w:rFonts w:hint="eastAsia" w:ascii="华文仿宋" w:hAnsi="华文仿宋" w:eastAsia="华文仿宋" w:cs="Times New Roman"/>
          <w:bCs/>
          <w:sz w:val="28"/>
          <w:szCs w:val="28"/>
        </w:rPr>
        <w:t>管理和决策的科学化、规范化水平，</w:t>
      </w:r>
      <w:r>
        <w:rPr>
          <w:rFonts w:ascii="华文仿宋" w:hAnsi="华文仿宋" w:eastAsia="华文仿宋"/>
          <w:sz w:val="28"/>
          <w:szCs w:val="28"/>
        </w:rPr>
        <w:t>为会员提供</w:t>
      </w:r>
      <w:r>
        <w:rPr>
          <w:rFonts w:hint="eastAsia" w:ascii="华文仿宋" w:hAnsi="华文仿宋" w:eastAsia="华文仿宋"/>
          <w:sz w:val="28"/>
          <w:szCs w:val="28"/>
        </w:rPr>
        <w:t>更</w:t>
      </w:r>
      <w:r>
        <w:rPr>
          <w:rFonts w:ascii="华文仿宋" w:hAnsi="华文仿宋" w:eastAsia="华文仿宋"/>
          <w:sz w:val="28"/>
          <w:szCs w:val="28"/>
        </w:rPr>
        <w:t>多</w:t>
      </w:r>
      <w:r>
        <w:rPr>
          <w:rFonts w:hint="eastAsia" w:ascii="华文仿宋" w:hAnsi="华文仿宋" w:eastAsia="华文仿宋"/>
          <w:sz w:val="28"/>
          <w:szCs w:val="28"/>
        </w:rPr>
        <w:t>更好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服务</w:t>
      </w:r>
      <w:r>
        <w:rPr>
          <w:rFonts w:hint="eastAsia" w:ascii="华文仿宋" w:hAnsi="华文仿宋" w:eastAsia="华文仿宋" w:cs="Times New Roman"/>
          <w:bCs/>
          <w:sz w:val="28"/>
          <w:szCs w:val="28"/>
        </w:rPr>
        <w:t>，</w:t>
      </w:r>
      <w:r>
        <w:rPr>
          <w:rFonts w:hint="eastAsia" w:ascii="华文仿宋" w:hAnsi="华文仿宋" w:eastAsia="华文仿宋" w:cs="Times New Roman"/>
          <w:sz w:val="28"/>
          <w:szCs w:val="28"/>
        </w:rPr>
        <w:t>特</w:t>
      </w:r>
      <w:r>
        <w:rPr>
          <w:rFonts w:hint="eastAsia" w:ascii="华文仿宋" w:hAnsi="华文仿宋" w:eastAsia="华文仿宋"/>
          <w:sz w:val="28"/>
          <w:szCs w:val="28"/>
        </w:rPr>
        <w:t>制定本办法。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第二条　本办法适用于专家委员会的管理。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第三条　专家委员会接受本会委托开展工作。本会秘书处负责专家委员会的日常管理。</w:t>
      </w:r>
    </w:p>
    <w:p>
      <w:pPr>
        <w:ind w:firstLine="560" w:firstLineChars="200"/>
      </w:pPr>
      <w:r>
        <w:rPr>
          <w:rFonts w:hint="eastAsia" w:ascii="华文仿宋" w:hAnsi="华文仿宋" w:eastAsia="华文仿宋"/>
          <w:sz w:val="28"/>
          <w:szCs w:val="28"/>
        </w:rPr>
        <w:t>第四条　专家委员会由相关专业领域的专家学者组成，其成员主要来源于高等院校、科研机构、省</w:t>
      </w:r>
      <w:r>
        <w:rPr>
          <w:rFonts w:ascii="华文仿宋" w:hAnsi="华文仿宋" w:eastAsia="华文仿宋"/>
          <w:sz w:val="28"/>
          <w:szCs w:val="28"/>
        </w:rPr>
        <w:t>市政府投资项目评审中心、</w:t>
      </w:r>
      <w:r>
        <w:rPr>
          <w:rFonts w:hint="eastAsia" w:ascii="华文仿宋" w:hAnsi="华文仿宋" w:eastAsia="华文仿宋"/>
          <w:sz w:val="28"/>
          <w:szCs w:val="28"/>
        </w:rPr>
        <w:t>协会</w:t>
      </w:r>
      <w:r>
        <w:rPr>
          <w:rFonts w:ascii="华文仿宋" w:hAnsi="华文仿宋" w:eastAsia="华文仿宋"/>
          <w:sz w:val="28"/>
          <w:szCs w:val="28"/>
        </w:rPr>
        <w:t>各会员</w:t>
      </w:r>
      <w:r>
        <w:rPr>
          <w:rFonts w:hint="eastAsia" w:ascii="华文仿宋" w:hAnsi="华文仿宋" w:eastAsia="华文仿宋"/>
          <w:sz w:val="28"/>
          <w:szCs w:val="28"/>
        </w:rPr>
        <w:t>等单位。</w:t>
      </w:r>
    </w:p>
    <w:p>
      <w:pPr>
        <w:ind w:firstLine="560" w:firstLineChars="200"/>
      </w:pPr>
      <w:r>
        <w:rPr>
          <w:rFonts w:hint="eastAsia" w:ascii="华文仿宋" w:hAnsi="华文仿宋" w:eastAsia="华文仿宋"/>
          <w:sz w:val="28"/>
          <w:szCs w:val="28"/>
        </w:rPr>
        <w:t>第五条　专家委员会在决策咨询活动中应遵守客观公正、实事求是的原则。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第六条　专家委员会的主要职责是：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（一）了解、掌握和研究工程咨询行业发展动态，及时向协会提供信息和工作建议；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（二）参与研究和制订工程咨询行业发展战略、规划、政策，技术规范、</w:t>
      </w:r>
      <w:r>
        <w:rPr>
          <w:rFonts w:ascii="华文仿宋" w:hAnsi="华文仿宋" w:eastAsia="华文仿宋"/>
          <w:sz w:val="28"/>
          <w:szCs w:val="28"/>
        </w:rPr>
        <w:t>规程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质量控制体系</w:t>
      </w:r>
      <w:r>
        <w:rPr>
          <w:rFonts w:hint="eastAsia" w:ascii="华文仿宋" w:hAnsi="华文仿宋" w:eastAsia="华文仿宋"/>
          <w:sz w:val="28"/>
          <w:szCs w:val="28"/>
        </w:rPr>
        <w:t>以及重大课题选题论证；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（三）参与工程</w:t>
      </w:r>
      <w:r>
        <w:rPr>
          <w:rFonts w:ascii="华文仿宋" w:hAnsi="华文仿宋" w:eastAsia="华文仿宋"/>
          <w:sz w:val="28"/>
          <w:szCs w:val="28"/>
        </w:rPr>
        <w:t>咨询单位资信评</w:t>
      </w:r>
      <w:r>
        <w:rPr>
          <w:rFonts w:hint="eastAsia" w:ascii="华文仿宋" w:hAnsi="华文仿宋" w:eastAsia="华文仿宋"/>
          <w:sz w:val="28"/>
          <w:szCs w:val="28"/>
        </w:rPr>
        <w:t>价、</w:t>
      </w:r>
      <w:r>
        <w:rPr>
          <w:rFonts w:ascii="华文仿宋" w:hAnsi="华文仿宋" w:eastAsia="华文仿宋"/>
          <w:sz w:val="28"/>
          <w:szCs w:val="28"/>
        </w:rPr>
        <w:t>工程咨询成果评</w:t>
      </w:r>
      <w:r>
        <w:rPr>
          <w:rFonts w:hint="eastAsia" w:ascii="华文仿宋" w:hAnsi="华文仿宋" w:eastAsia="华文仿宋"/>
          <w:sz w:val="28"/>
          <w:szCs w:val="28"/>
        </w:rPr>
        <w:t>审</w:t>
      </w:r>
      <w:r>
        <w:rPr>
          <w:rFonts w:ascii="华文仿宋" w:hAnsi="华文仿宋" w:eastAsia="华文仿宋"/>
          <w:sz w:val="28"/>
          <w:szCs w:val="28"/>
        </w:rPr>
        <w:t>等</w:t>
      </w:r>
      <w:r>
        <w:rPr>
          <w:rFonts w:hint="eastAsia" w:ascii="华文仿宋" w:hAnsi="华文仿宋" w:eastAsia="华文仿宋"/>
          <w:sz w:val="28"/>
          <w:szCs w:val="28"/>
        </w:rPr>
        <w:t>与协会业务相关的</w:t>
      </w:r>
      <w:r>
        <w:rPr>
          <w:rFonts w:ascii="华文仿宋" w:hAnsi="华文仿宋" w:eastAsia="华文仿宋"/>
          <w:sz w:val="28"/>
          <w:szCs w:val="28"/>
        </w:rPr>
        <w:t>活动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（四）承担协会委托的其他专项工作。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第七条　专家委员会一般由20—30名成员组成，设主任1名，副主任根据需要设置；必要时专家委员还可分设若干专门小组，以利工作展开。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第八条　专家委员会成员应具备的条件：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（一）作风正派、有良好的职业道德、廉洁奉公、遵纪守法、责任心强；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（二）一般应具有高级技术职称（评估、评审经验特别丰富的可适当放宽），在本专业范围具备较高的技术水平，具备坚实的专业基础知识，有较丰富的工程实践经验，愿为工程咨询行业发展服务；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（三）身体健康，年龄不超过70岁。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第九条　专家委员会成员享有以下权利：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（一）向协会及其专家委员会提出工作意见和建议；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（二）在参与决策咨询过程中充分发表个人意见，并可保留个人意见和建议；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（三）可自愿退出专家委员会；</w:t>
      </w:r>
    </w:p>
    <w:p>
      <w:pPr>
        <w:pStyle w:val="5"/>
        <w:numPr>
          <w:ilvl w:val="0"/>
          <w:numId w:val="0"/>
        </w:numPr>
        <w:ind w:firstLine="560" w:firstLineChars="200"/>
      </w:pPr>
      <w:r>
        <w:rPr>
          <w:rFonts w:hint="eastAsia"/>
        </w:rPr>
        <w:t>（四）有关办法规定的其他权利。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第十条 专家委员会成员应承担的义务：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（一）遵守国家有关法律法规和专家委员会管理办法；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（二）积极参加专家委员会的各项活动；</w:t>
      </w:r>
    </w:p>
    <w:p>
      <w:pPr>
        <w:pStyle w:val="5"/>
        <w:numPr>
          <w:ilvl w:val="0"/>
          <w:numId w:val="0"/>
        </w:numPr>
        <w:ind w:firstLine="560" w:firstLineChars="200"/>
      </w:pPr>
      <w:r>
        <w:rPr>
          <w:rFonts w:hint="eastAsia"/>
        </w:rPr>
        <w:t>（三）当可能妨碍到评审、评价的客观、公平、公正时，专家应及时申请回避</w:t>
      </w:r>
      <w:r>
        <w:rPr>
          <w:rFonts w:hint="eastAsia" w:ascii="华文仿宋" w:hAnsi="华文仿宋" w:eastAsia="华文仿宋"/>
        </w:rPr>
        <w:t>；</w:t>
      </w:r>
    </w:p>
    <w:p>
      <w:pPr>
        <w:pStyle w:val="5"/>
        <w:numPr>
          <w:ilvl w:val="0"/>
          <w:numId w:val="0"/>
        </w:numPr>
        <w:ind w:left="560"/>
      </w:pPr>
      <w:r>
        <w:rPr>
          <w:rFonts w:hint="eastAsia" w:ascii="华文仿宋" w:hAnsi="华文仿宋" w:eastAsia="华文仿宋"/>
        </w:rPr>
        <w:t>（四）</w:t>
      </w:r>
      <w:r>
        <w:rPr>
          <w:rFonts w:hint="eastAsia"/>
        </w:rPr>
        <w:t>严格遵守有关保密规定，未经许可不得泄露有关信息。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第十一条　专家委员会成员聘用到本届协会结束。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第十二条　未经本会许可，专家委员会成员不得以专家委员会的名义组织任何活动。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第十三条　专家委员会在咨询、评审、评价等活动中，不得超越有关规定收受报酬和其他礼品。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第十四条　对违反国家法律、法规和本管理办法的专家委员会成员，将予以除名。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第十五条　本办法</w:t>
      </w:r>
      <w:r>
        <w:rPr>
          <w:rFonts w:ascii="华文仿宋" w:hAnsi="华文仿宋" w:eastAsia="华文仿宋" w:cs="Times New Roman"/>
          <w:sz w:val="28"/>
          <w:szCs w:val="28"/>
        </w:rPr>
        <w:t>经</w:t>
      </w:r>
      <w:r>
        <w:rPr>
          <w:rFonts w:hint="eastAsia" w:ascii="华文仿宋" w:hAnsi="华文仿宋" w:eastAsia="华文仿宋" w:cs="Times New Roman"/>
          <w:sz w:val="28"/>
          <w:szCs w:val="28"/>
        </w:rPr>
        <w:t>会长</w:t>
      </w:r>
      <w:r>
        <w:rPr>
          <w:rFonts w:ascii="华文仿宋" w:hAnsi="华文仿宋" w:eastAsia="华文仿宋" w:cs="Times New Roman"/>
          <w:sz w:val="28"/>
          <w:szCs w:val="28"/>
        </w:rPr>
        <w:t>办公会讨论通过后</w:t>
      </w:r>
      <w:r>
        <w:rPr>
          <w:rFonts w:hint="eastAsia" w:ascii="华文仿宋" w:hAnsi="华文仿宋" w:eastAsia="华文仿宋" w:cs="Times New Roman"/>
          <w:sz w:val="28"/>
          <w:szCs w:val="28"/>
        </w:rPr>
        <w:t>生效</w:t>
      </w:r>
      <w:r>
        <w:rPr>
          <w:rFonts w:hint="eastAsia" w:ascii="华文仿宋" w:hAnsi="华文仿宋" w:eastAsia="华文仿宋"/>
          <w:sz w:val="28"/>
          <w:szCs w:val="28"/>
        </w:rPr>
        <w:t xml:space="preserve"> 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第十六条　本办法由湖南省工程咨询协会秘书处负责解释。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23"/>
    <w:multiLevelType w:val="multilevel"/>
    <w:tmpl w:val="1DB27523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</w:rPr>
    </w:lvl>
    <w:lvl w:ilvl="1" w:tentative="0">
      <w:start w:val="1"/>
      <w:numFmt w:val="chineseCountingThousand"/>
      <w:lvlRestart w:val="0"/>
      <w:pStyle w:val="3"/>
      <w:suff w:val="space"/>
      <w:lvlText w:val="第%2条"/>
      <w:lvlJc w:val="left"/>
      <w:pPr>
        <w:ind w:left="0" w:firstLine="0"/>
      </w:pPr>
      <w:rPr>
        <w:rFonts w:hint="eastAsia" w:eastAsia="仿宋"/>
        <w:b/>
        <w:i w:val="0"/>
        <w:sz w:val="28"/>
        <w:lang w:val="en-US"/>
      </w:rPr>
    </w:lvl>
    <w:lvl w:ilvl="2" w:tentative="0">
      <w:start w:val="1"/>
      <w:numFmt w:val="chineseCountingThousand"/>
      <w:pStyle w:val="4"/>
      <w:suff w:val="space"/>
      <w:lvlText w:val="(%3)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</w:rPr>
    </w:lvl>
    <w:lvl w:ilvl="3" w:tentative="0">
      <w:start w:val="1"/>
      <w:numFmt w:val="decimal"/>
      <w:pStyle w:val="5"/>
      <w:suff w:val="space"/>
      <w:lvlText w:val="%4、"/>
      <w:lvlJc w:val="left"/>
      <w:pPr>
        <w:ind w:left="0" w:firstLine="0"/>
      </w:pPr>
      <w:rPr>
        <w:rFonts w:hint="eastAsia" w:eastAsia="仿宋"/>
        <w:b w:val="0"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3B"/>
    <w:rsid w:val="000156D1"/>
    <w:rsid w:val="00023BA9"/>
    <w:rsid w:val="000B6F9D"/>
    <w:rsid w:val="000F3439"/>
    <w:rsid w:val="000F7013"/>
    <w:rsid w:val="00103169"/>
    <w:rsid w:val="00135736"/>
    <w:rsid w:val="00183B87"/>
    <w:rsid w:val="0020150E"/>
    <w:rsid w:val="002546E2"/>
    <w:rsid w:val="00267830"/>
    <w:rsid w:val="002A023B"/>
    <w:rsid w:val="002A7A12"/>
    <w:rsid w:val="002C0DD2"/>
    <w:rsid w:val="002C22F5"/>
    <w:rsid w:val="002C790F"/>
    <w:rsid w:val="002F037B"/>
    <w:rsid w:val="00321F8D"/>
    <w:rsid w:val="00382356"/>
    <w:rsid w:val="003C4727"/>
    <w:rsid w:val="003E4838"/>
    <w:rsid w:val="00403048"/>
    <w:rsid w:val="00425A1B"/>
    <w:rsid w:val="00463F0A"/>
    <w:rsid w:val="004E601C"/>
    <w:rsid w:val="004F2BDA"/>
    <w:rsid w:val="00535958"/>
    <w:rsid w:val="0054678D"/>
    <w:rsid w:val="00664C3B"/>
    <w:rsid w:val="00707418"/>
    <w:rsid w:val="007173BA"/>
    <w:rsid w:val="007410AE"/>
    <w:rsid w:val="007E4C1E"/>
    <w:rsid w:val="007E542C"/>
    <w:rsid w:val="007E763C"/>
    <w:rsid w:val="00870693"/>
    <w:rsid w:val="00897F9E"/>
    <w:rsid w:val="00937257"/>
    <w:rsid w:val="00947710"/>
    <w:rsid w:val="00960631"/>
    <w:rsid w:val="00982D03"/>
    <w:rsid w:val="0099188C"/>
    <w:rsid w:val="009D346C"/>
    <w:rsid w:val="009D6939"/>
    <w:rsid w:val="009E5124"/>
    <w:rsid w:val="00A00298"/>
    <w:rsid w:val="00A462DE"/>
    <w:rsid w:val="00A8782F"/>
    <w:rsid w:val="00B64E4B"/>
    <w:rsid w:val="00B7454A"/>
    <w:rsid w:val="00C40728"/>
    <w:rsid w:val="00CB2B11"/>
    <w:rsid w:val="00CF2782"/>
    <w:rsid w:val="00D4369A"/>
    <w:rsid w:val="00D61CBC"/>
    <w:rsid w:val="00DC31A4"/>
    <w:rsid w:val="00E21322"/>
    <w:rsid w:val="00E23E11"/>
    <w:rsid w:val="00E64BF9"/>
    <w:rsid w:val="00EE6039"/>
    <w:rsid w:val="00EE7896"/>
    <w:rsid w:val="00EF2A81"/>
    <w:rsid w:val="00F073AD"/>
    <w:rsid w:val="00F319EE"/>
    <w:rsid w:val="00F9674B"/>
    <w:rsid w:val="00FE7A79"/>
    <w:rsid w:val="00FF2F68"/>
    <w:rsid w:val="00FF7940"/>
    <w:rsid w:val="4187572A"/>
    <w:rsid w:val="6FF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0"/>
    <w:pPr>
      <w:widowControl w:val="0"/>
      <w:numPr>
        <w:ilvl w:val="0"/>
        <w:numId w:val="1"/>
      </w:numPr>
      <w:spacing w:beforeLines="100" w:afterLines="10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15"/>
    <w:unhideWhenUsed/>
    <w:qFormat/>
    <w:uiPriority w:val="0"/>
    <w:pPr>
      <w:numPr>
        <w:ilvl w:val="1"/>
        <w:numId w:val="1"/>
      </w:numPr>
      <w:spacing w:line="480" w:lineRule="exact"/>
      <w:outlineLvl w:val="1"/>
    </w:pPr>
    <w:rPr>
      <w:rFonts w:ascii="Times New Roman" w:hAnsi="Times New Roman" w:eastAsia="仿宋" w:cs="Times New Roman"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numPr>
        <w:ilvl w:val="2"/>
        <w:numId w:val="1"/>
      </w:numPr>
      <w:spacing w:line="480" w:lineRule="exact"/>
      <w:ind w:firstLine="200" w:firstLineChars="200"/>
      <w:outlineLvl w:val="2"/>
    </w:pPr>
    <w:rPr>
      <w:rFonts w:ascii="Times New Roman" w:hAnsi="Times New Roman" w:eastAsia="仿宋" w:cs="Times New Roman"/>
      <w:bCs/>
      <w:sz w:val="28"/>
      <w:szCs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numPr>
        <w:ilvl w:val="3"/>
        <w:numId w:val="1"/>
      </w:numPr>
      <w:spacing w:line="480" w:lineRule="exact"/>
      <w:ind w:firstLine="200" w:firstLineChars="200"/>
      <w:outlineLvl w:val="3"/>
    </w:pPr>
    <w:rPr>
      <w:rFonts w:ascii="Cambria" w:hAnsi="Cambria" w:eastAsia="仿宋" w:cs="Times New Roman"/>
      <w:bCs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0"/>
    <w:link w:val="8"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5">
    <w:name w:val="标题 2 Char"/>
    <w:basedOn w:val="10"/>
    <w:link w:val="3"/>
    <w:uiPriority w:val="0"/>
    <w:rPr>
      <w:rFonts w:ascii="Times New Roman" w:hAnsi="Times New Roman" w:eastAsia="仿宋" w:cs="Times New Roman"/>
      <w:bCs/>
      <w:sz w:val="28"/>
      <w:szCs w:val="32"/>
    </w:rPr>
  </w:style>
  <w:style w:type="character" w:customStyle="1" w:styleId="16">
    <w:name w:val="标题 3 Char"/>
    <w:basedOn w:val="10"/>
    <w:link w:val="4"/>
    <w:uiPriority w:val="0"/>
    <w:rPr>
      <w:rFonts w:ascii="Times New Roman" w:hAnsi="Times New Roman" w:eastAsia="仿宋" w:cs="Times New Roman"/>
      <w:bCs/>
      <w:sz w:val="28"/>
      <w:szCs w:val="32"/>
    </w:rPr>
  </w:style>
  <w:style w:type="character" w:customStyle="1" w:styleId="17">
    <w:name w:val="标题 4 Char"/>
    <w:basedOn w:val="10"/>
    <w:link w:val="5"/>
    <w:uiPriority w:val="0"/>
    <w:rPr>
      <w:rFonts w:ascii="Cambria" w:hAnsi="Cambria" w:eastAsia="仿宋" w:cs="Times New Roman"/>
      <w:bCs/>
      <w:sz w:val="28"/>
      <w:szCs w:val="28"/>
    </w:rPr>
  </w:style>
  <w:style w:type="character" w:customStyle="1" w:styleId="18">
    <w:name w:val="批注框文本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2017-12-11T13:09:00Z</dcterms:created>
  <dc:creator>User</dc:creator>
  <cp:lastModifiedBy>lakehead </cp:lastModifiedBy>
  <cp:lastPrinted>2017-12-25T07:50:29Z</cp:lastPrinted>
  <dcterms:modified xsi:type="dcterms:W3CDTF">2017-12-25T08:03:51Z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